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3"/>
        <w:gridCol w:w="1692"/>
        <w:gridCol w:w="1203"/>
        <w:gridCol w:w="6391"/>
      </w:tblGrid>
      <w:tr w:rsidR="007E15DC">
        <w:trPr>
          <w:trHeight w:val="1531"/>
          <w:jc w:val="center"/>
        </w:trPr>
        <w:tc>
          <w:tcPr>
            <w:tcW w:w="3828" w:type="dxa"/>
            <w:gridSpan w:val="3"/>
            <w:tcBorders>
              <w:bottom w:val="none" w:sz="4" w:space="0" w:color="000000"/>
            </w:tcBorders>
          </w:tcPr>
          <w:p w:rsidR="007E15DC" w:rsidRDefault="00F079C8">
            <w:pPr>
              <w:jc w:val="center"/>
              <w:rPr>
                <w:rFonts w:ascii="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t>HỘI ĐỒNG NHÂN DÂN</w:t>
            </w:r>
          </w:p>
          <w:p w:rsidR="007E15DC" w:rsidRDefault="00F079C8">
            <w:pPr>
              <w:jc w:val="center"/>
              <w:rPr>
                <w:rFonts w:ascii="Times New Roman" w:hAnsi="Times New Roman" w:cs="Times New Roman"/>
                <w:b/>
                <w:sz w:val="28"/>
                <w:szCs w:val="28"/>
              </w:rPr>
            </w:pPr>
            <w:r>
              <w:rPr>
                <w:rFonts w:ascii="Times New Roman" w:eastAsia="Times New Roman" w:hAnsi="Times New Roman" w:cs="Times New Roman"/>
                <w:b/>
                <w:sz w:val="28"/>
                <w:szCs w:val="28"/>
              </w:rPr>
              <w:t>TỈNH TÂY NINH</w:t>
            </w:r>
          </w:p>
          <w:p w:rsidR="007E15DC" w:rsidRDefault="00F079C8">
            <w:pPr>
              <w:jc w:val="center"/>
              <w:rPr>
                <w:rFonts w:ascii="Times New Roman" w:hAnsi="Times New Roman" w:cs="Times New Roman"/>
                <w:b/>
                <w:sz w:val="28"/>
                <w:szCs w:val="28"/>
              </w:rPr>
            </w:pPr>
            <w:r>
              <w:rPr>
                <w:rFonts w:ascii="Times New Roman" w:eastAsia="Times New Roman" w:hAnsi="Times New Roman" w:cs="Times New Roman"/>
                <w:b/>
                <w:noProof/>
                <w:sz w:val="28"/>
                <w:szCs w:val="28"/>
                <w:lang w:eastAsia="en-US"/>
              </w:rPr>
              <mc:AlternateContent>
                <mc:Choice Requires="wpg">
                  <w:drawing>
                    <wp:anchor distT="0" distB="0" distL="114300" distR="114300" simplePos="0" relativeHeight="251659264" behindDoc="0" locked="0" layoutInCell="1" allowOverlap="1">
                      <wp:simplePos x="0" y="0"/>
                      <wp:positionH relativeFrom="column">
                        <wp:posOffset>742315</wp:posOffset>
                      </wp:positionH>
                      <wp:positionV relativeFrom="paragraph">
                        <wp:posOffset>19685</wp:posOffset>
                      </wp:positionV>
                      <wp:extent cx="692150" cy="0"/>
                      <wp:effectExtent l="0" t="0" r="0" b="0"/>
                      <wp:wrapNone/>
                      <wp:docPr id="1" name="Straight Connector 3"/>
                      <wp:cNvGraphicFramePr/>
                      <a:graphic xmlns:a="http://schemas.openxmlformats.org/drawingml/2006/main">
                        <a:graphicData uri="http://schemas.microsoft.com/office/word/2010/wordprocessingShape">
                          <wps:wsp>
                            <wps:cNvCnPr/>
                            <wps:spPr bwMode="auto">
                              <a:xfrm>
                                <a:off x="0" y="0"/>
                                <a:ext cx="69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http://schemas.openxmlformats.org/drawingml/2006/main">
                  <w:pict>
                    <v:line id="shape 0" o:spid="_x0000_s0" style="position:absolute;left:0;text-align:left;z-index:251659264;mso-wrap-distance-left:9.00pt;mso-wrap-distance-top:0.00pt;mso-wrap-distance-right:9.00pt;mso-wrap-distance-bottom:0.00pt;visibility:visible;" from="58.4pt,1.5pt" to="112.9pt,1.5pt" filled="f" strokecolor="#000000" strokeweight="0.50pt">
                      <v:stroke dashstyle="solid"/>
                    </v:line>
                  </w:pict>
                </mc:Fallback>
              </mc:AlternateContent>
            </w:r>
          </w:p>
          <w:p w:rsidR="007E15DC" w:rsidRDefault="00F079C8">
            <w:pPr>
              <w:jc w:val="center"/>
              <w:rPr>
                <w:rFonts w:ascii="Times New Roman" w:hAnsi="Times New Roman" w:cs="Times New Roman"/>
                <w:b/>
                <w:sz w:val="28"/>
                <w:szCs w:val="28"/>
              </w:rPr>
            </w:pPr>
            <w:r>
              <w:rPr>
                <w:rFonts w:ascii="Times New Roman" w:eastAsia="Times New Roman" w:hAnsi="Times New Roman" w:cs="Times New Roman"/>
                <w:sz w:val="28"/>
                <w:szCs w:val="28"/>
              </w:rPr>
              <w:t>Số:         /2026/NQ-HĐND</w:t>
            </w:r>
          </w:p>
        </w:tc>
        <w:tc>
          <w:tcPr>
            <w:tcW w:w="6391" w:type="dxa"/>
            <w:tcBorders>
              <w:bottom w:val="none" w:sz="4" w:space="0" w:color="000000"/>
            </w:tcBorders>
          </w:tcPr>
          <w:p w:rsidR="007E15DC" w:rsidRDefault="00F079C8">
            <w:pPr>
              <w:ind w:left="1139" w:hanging="1212"/>
              <w:jc w:val="center"/>
              <w:rPr>
                <w:rFonts w:ascii="Times New Roman" w:hAnsi="Times New Roman" w:cs="Times New Roman"/>
                <w:b/>
                <w:sz w:val="28"/>
                <w:szCs w:val="28"/>
              </w:rPr>
            </w:pPr>
            <w:r>
              <w:rPr>
                <w:rFonts w:ascii="Times New Roman" w:eastAsia="Times New Roman" w:hAnsi="Times New Roman" w:cs="Times New Roman"/>
                <w:b/>
                <w:sz w:val="28"/>
                <w:szCs w:val="28"/>
              </w:rPr>
              <w:t>CỘNG HÒA XÃ HỘI CHỦ NGHĨA VIỆT NAM</w:t>
            </w:r>
          </w:p>
          <w:p w:rsidR="007E15DC" w:rsidRDefault="00F079C8">
            <w:pPr>
              <w:ind w:left="1139" w:hanging="1212"/>
              <w:jc w:val="center"/>
              <w:rPr>
                <w:rFonts w:ascii="Times New Roman" w:hAnsi="Times New Roman" w:cs="Times New Roman"/>
                <w:b/>
                <w:sz w:val="28"/>
                <w:szCs w:val="28"/>
              </w:rPr>
            </w:pPr>
            <w:r>
              <w:rPr>
                <w:rFonts w:ascii="Times New Roman" w:eastAsia="Times New Roman" w:hAnsi="Times New Roman" w:cs="Times New Roman"/>
                <w:b/>
                <w:sz w:val="28"/>
                <w:szCs w:val="28"/>
              </w:rPr>
              <w:t>Độc lập - Tự do - Hạnh phúc</w:t>
            </w:r>
          </w:p>
          <w:p w:rsidR="007E15DC" w:rsidRDefault="00F079C8">
            <w:pPr>
              <w:jc w:val="center"/>
              <w:rPr>
                <w:rFonts w:ascii="Times New Roman" w:hAnsi="Times New Roman" w:cs="Times New Roman"/>
                <w:b/>
                <w:sz w:val="28"/>
                <w:szCs w:val="28"/>
              </w:rPr>
            </w:pPr>
            <w:r>
              <w:rPr>
                <w:rFonts w:ascii="Times New Roman" w:eastAsia="Times New Roman" w:hAnsi="Times New Roman" w:cs="Times New Roman"/>
                <w:b/>
                <w:noProof/>
                <w:sz w:val="28"/>
                <w:szCs w:val="28"/>
                <w:lang w:eastAsia="en-US"/>
              </w:rPr>
              <mc:AlternateContent>
                <mc:Choice Requires="wpg">
                  <w:drawing>
                    <wp:anchor distT="0" distB="0" distL="114300" distR="114300" simplePos="0" relativeHeight="251660288" behindDoc="0" locked="0" layoutInCell="1" allowOverlap="1">
                      <wp:simplePos x="0" y="0"/>
                      <wp:positionH relativeFrom="column">
                        <wp:posOffset>870585</wp:posOffset>
                      </wp:positionH>
                      <wp:positionV relativeFrom="paragraph">
                        <wp:posOffset>34290</wp:posOffset>
                      </wp:positionV>
                      <wp:extent cx="2114550" cy="0"/>
                      <wp:effectExtent l="0" t="0" r="0" b="0"/>
                      <wp:wrapNone/>
                      <wp:docPr id="2" name="Straight Connector 2"/>
                      <wp:cNvGraphicFramePr/>
                      <a:graphic xmlns:a="http://schemas.openxmlformats.org/drawingml/2006/main">
                        <a:graphicData uri="http://schemas.microsoft.com/office/word/2010/wordprocessingShape">
                          <wps:wsp>
                            <wps:cNvCnPr/>
                            <wps:spPr bwMode="auto">
                              <a:xfrm>
                                <a:off x="0" y="0"/>
                                <a:ext cx="211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http://schemas.openxmlformats.org/drawingml/2006/main">
                  <w:pict>
                    <v:line id="shape 1" o:spid="_x0000_s1" style="position:absolute;left:0;text-align:left;z-index:251660288;mso-wrap-distance-left:9.00pt;mso-wrap-distance-top:0.00pt;mso-wrap-distance-right:9.00pt;mso-wrap-distance-bottom:0.00pt;visibility:visible;" from="68.5pt,2.7pt" to="235.1pt,2.7pt" filled="f" strokecolor="#000000" strokeweight="0.50pt">
                      <v:stroke dashstyle="solid"/>
                    </v:line>
                  </w:pict>
                </mc:Fallback>
              </mc:AlternateContent>
            </w:r>
          </w:p>
          <w:p w:rsidR="007E15DC" w:rsidRDefault="00F079C8">
            <w:pPr>
              <w:ind w:hanging="250"/>
              <w:jc w:val="center"/>
              <w:rPr>
                <w:rFonts w:ascii="Times New Roman" w:hAnsi="Times New Roman" w:cs="Times New Roman"/>
                <w:i/>
                <w:sz w:val="28"/>
                <w:szCs w:val="28"/>
              </w:rPr>
            </w:pPr>
            <w:r>
              <w:rPr>
                <w:rFonts w:ascii="Times New Roman" w:eastAsia="Times New Roman" w:hAnsi="Times New Roman" w:cs="Times New Roman"/>
                <w:i/>
                <w:sz w:val="28"/>
                <w:szCs w:val="28"/>
              </w:rPr>
              <w:t>Tây Ninh, ngày       tháng      năm 2026</w:t>
            </w:r>
          </w:p>
          <w:p w:rsidR="007E15DC" w:rsidRDefault="007E15DC">
            <w:pPr>
              <w:jc w:val="center"/>
              <w:rPr>
                <w:rFonts w:ascii="Times New Roman" w:hAnsi="Times New Roman" w:cs="Times New Roman"/>
                <w:b/>
                <w:sz w:val="28"/>
                <w:szCs w:val="28"/>
              </w:rPr>
            </w:pPr>
          </w:p>
        </w:tc>
      </w:tr>
      <w:tr w:rsidR="007E15DC">
        <w:trPr>
          <w:trHeight w:val="152"/>
          <w:jc w:val="center"/>
        </w:trPr>
        <w:tc>
          <w:tcPr>
            <w:tcW w:w="933" w:type="dxa"/>
            <w:tcBorders>
              <w:top w:val="none" w:sz="4" w:space="0" w:color="000000"/>
              <w:right w:val="single" w:sz="4" w:space="0" w:color="auto"/>
            </w:tcBorders>
          </w:tcPr>
          <w:p w:rsidR="007E15DC" w:rsidRDefault="007E15DC">
            <w:pPr>
              <w:jc w:val="center"/>
              <w:rPr>
                <w:rFonts w:ascii="Times New Roman" w:hAnsi="Times New Roman" w:cs="Times New Roman"/>
                <w:b/>
                <w:sz w:val="8"/>
                <w:szCs w:val="8"/>
              </w:rPr>
            </w:pPr>
          </w:p>
        </w:tc>
        <w:tc>
          <w:tcPr>
            <w:tcW w:w="1692" w:type="dxa"/>
            <w:vMerge w:val="restart"/>
            <w:tcBorders>
              <w:top w:val="single" w:sz="4" w:space="0" w:color="auto"/>
              <w:left w:val="single" w:sz="4" w:space="0" w:color="auto"/>
              <w:right w:val="single" w:sz="4" w:space="0" w:color="auto"/>
            </w:tcBorders>
            <w:vAlign w:val="center"/>
          </w:tcPr>
          <w:p w:rsidR="007E15DC" w:rsidRDefault="00F079C8">
            <w:pPr>
              <w:jc w:val="center"/>
              <w:rPr>
                <w:rFonts w:ascii="Times New Roman" w:hAnsi="Times New Roman" w:cs="Times New Roman"/>
                <w:b/>
                <w:sz w:val="24"/>
                <w:szCs w:val="24"/>
              </w:rPr>
            </w:pPr>
            <w:r>
              <w:rPr>
                <w:rFonts w:ascii="Times New Roman" w:eastAsia="Times New Roman" w:hAnsi="Times New Roman" w:cs="Times New Roman"/>
                <w:b/>
                <w:sz w:val="24"/>
                <w:szCs w:val="24"/>
              </w:rPr>
              <w:t>DỰ THẢO</w:t>
            </w:r>
          </w:p>
        </w:tc>
        <w:tc>
          <w:tcPr>
            <w:tcW w:w="1203" w:type="dxa"/>
            <w:tcBorders>
              <w:top w:val="none" w:sz="4" w:space="0" w:color="000000"/>
              <w:left w:val="single" w:sz="4" w:space="0" w:color="auto"/>
            </w:tcBorders>
          </w:tcPr>
          <w:p w:rsidR="007E15DC" w:rsidRDefault="007E15DC">
            <w:pPr>
              <w:jc w:val="center"/>
              <w:rPr>
                <w:rFonts w:ascii="Times New Roman" w:hAnsi="Times New Roman" w:cs="Times New Roman"/>
                <w:b/>
                <w:sz w:val="8"/>
                <w:szCs w:val="8"/>
              </w:rPr>
            </w:pPr>
          </w:p>
        </w:tc>
        <w:tc>
          <w:tcPr>
            <w:tcW w:w="6391" w:type="dxa"/>
            <w:tcBorders>
              <w:top w:val="none" w:sz="4" w:space="0" w:color="000000"/>
            </w:tcBorders>
          </w:tcPr>
          <w:p w:rsidR="007E15DC" w:rsidRDefault="007E15DC">
            <w:pPr>
              <w:jc w:val="center"/>
              <w:rPr>
                <w:rFonts w:ascii="Times New Roman" w:hAnsi="Times New Roman" w:cs="Times New Roman"/>
                <w:b/>
                <w:sz w:val="8"/>
                <w:szCs w:val="8"/>
              </w:rPr>
            </w:pPr>
          </w:p>
        </w:tc>
      </w:tr>
      <w:tr w:rsidR="007E15DC">
        <w:trPr>
          <w:trHeight w:val="406"/>
          <w:jc w:val="center"/>
        </w:trPr>
        <w:tc>
          <w:tcPr>
            <w:tcW w:w="933" w:type="dxa"/>
            <w:tcBorders>
              <w:right w:val="single" w:sz="4" w:space="0" w:color="auto"/>
            </w:tcBorders>
          </w:tcPr>
          <w:p w:rsidR="007E15DC" w:rsidRDefault="007E15DC">
            <w:pPr>
              <w:jc w:val="center"/>
              <w:rPr>
                <w:rFonts w:ascii="Times New Roman" w:hAnsi="Times New Roman" w:cs="Times New Roman"/>
                <w:b/>
                <w:sz w:val="8"/>
                <w:szCs w:val="8"/>
              </w:rPr>
            </w:pPr>
          </w:p>
        </w:tc>
        <w:tc>
          <w:tcPr>
            <w:tcW w:w="1692" w:type="dxa"/>
            <w:vMerge/>
            <w:tcBorders>
              <w:left w:val="single" w:sz="4" w:space="0" w:color="auto"/>
              <w:bottom w:val="single" w:sz="4" w:space="0" w:color="auto"/>
              <w:right w:val="single" w:sz="4" w:space="0" w:color="auto"/>
            </w:tcBorders>
          </w:tcPr>
          <w:p w:rsidR="007E15DC" w:rsidRDefault="007E15DC">
            <w:pPr>
              <w:jc w:val="center"/>
              <w:rPr>
                <w:rFonts w:asciiTheme="majorHAnsi" w:hAnsiTheme="majorHAnsi" w:cstheme="majorHAnsi"/>
                <w:b/>
                <w:sz w:val="8"/>
                <w:szCs w:val="8"/>
              </w:rPr>
            </w:pPr>
          </w:p>
        </w:tc>
        <w:tc>
          <w:tcPr>
            <w:tcW w:w="1203" w:type="dxa"/>
            <w:tcBorders>
              <w:left w:val="single" w:sz="4" w:space="0" w:color="auto"/>
            </w:tcBorders>
          </w:tcPr>
          <w:p w:rsidR="007E15DC" w:rsidRDefault="007E15DC">
            <w:pPr>
              <w:jc w:val="center"/>
              <w:rPr>
                <w:rFonts w:ascii="Times New Roman" w:hAnsi="Times New Roman" w:cs="Times New Roman"/>
                <w:b/>
                <w:sz w:val="8"/>
                <w:szCs w:val="8"/>
              </w:rPr>
            </w:pPr>
          </w:p>
        </w:tc>
        <w:tc>
          <w:tcPr>
            <w:tcW w:w="6391" w:type="dxa"/>
          </w:tcPr>
          <w:p w:rsidR="007E15DC" w:rsidRDefault="007E15DC">
            <w:pPr>
              <w:jc w:val="center"/>
              <w:rPr>
                <w:rFonts w:ascii="Times New Roman" w:hAnsi="Times New Roman" w:cs="Times New Roman"/>
                <w:b/>
                <w:sz w:val="8"/>
                <w:szCs w:val="8"/>
              </w:rPr>
            </w:pPr>
          </w:p>
        </w:tc>
      </w:tr>
    </w:tbl>
    <w:p w:rsidR="007E15DC" w:rsidRDefault="007E15DC">
      <w:pPr>
        <w:jc w:val="center"/>
        <w:rPr>
          <w:rFonts w:ascii="Times New Roman" w:hAnsi="Times New Roman" w:cs="Times New Roman"/>
          <w:b/>
          <w:sz w:val="8"/>
          <w:szCs w:val="8"/>
        </w:rPr>
      </w:pPr>
    </w:p>
    <w:p w:rsidR="007E15DC" w:rsidRDefault="00F079C8">
      <w:pPr>
        <w:jc w:val="center"/>
        <w:rPr>
          <w:rFonts w:ascii="Times New Roman" w:hAnsi="Times New Roman" w:cs="Times New Roman"/>
          <w:b/>
          <w:sz w:val="28"/>
          <w:szCs w:val="28"/>
        </w:rPr>
      </w:pPr>
      <w:r>
        <w:rPr>
          <w:rFonts w:ascii="Times New Roman" w:eastAsia="Times New Roman" w:hAnsi="Times New Roman" w:cs="Times New Roman"/>
          <w:b/>
          <w:sz w:val="28"/>
          <w:szCs w:val="28"/>
        </w:rPr>
        <w:t>NGHỊ QUYẾT</w:t>
      </w:r>
    </w:p>
    <w:p w:rsidR="007E15DC" w:rsidRDefault="00F079C8">
      <w:pPr>
        <w:ind w:right="2"/>
        <w:jc w:val="center"/>
        <w:rPr>
          <w:rFonts w:ascii="Times New Roman" w:hAnsi="Times New Roman" w:cs="Times New Roman"/>
          <w:b/>
          <w:sz w:val="28"/>
          <w:szCs w:val="28"/>
          <w:lang w:val="nl-NL"/>
        </w:rPr>
      </w:pPr>
      <w:r>
        <w:rPr>
          <w:rFonts w:ascii="Times New Roman" w:hAnsi="Times New Roman" w:cs="Times New Roman"/>
          <w:b/>
          <w:color w:val="000000" w:themeColor="text1"/>
          <w:sz w:val="28"/>
          <w:szCs w:val="28"/>
        </w:rPr>
        <w:t>V</w:t>
      </w:r>
      <w:r>
        <w:rPr>
          <w:rFonts w:ascii="Times New Roman" w:hAnsi="Times New Roman" w:cs="Times New Roman"/>
          <w:b/>
          <w:color w:val="000000" w:themeColor="text1"/>
          <w:sz w:val="28"/>
          <w:szCs w:val="28"/>
        </w:rPr>
        <w:t>ề</w:t>
      </w:r>
      <w:r>
        <w:rPr>
          <w:rFonts w:ascii="Times New Roman" w:hAnsi="Times New Roman" w:cs="Times New Roman"/>
          <w:b/>
          <w:color w:val="000000" w:themeColor="text1"/>
          <w:sz w:val="28"/>
          <w:szCs w:val="28"/>
        </w:rPr>
        <w:t xml:space="preserve"> vi</w:t>
      </w:r>
      <w:r>
        <w:rPr>
          <w:rFonts w:ascii="Times New Roman" w:hAnsi="Times New Roman" w:cs="Times New Roman"/>
          <w:b/>
          <w:color w:val="000000" w:themeColor="text1"/>
          <w:sz w:val="28"/>
          <w:szCs w:val="28"/>
        </w:rPr>
        <w:t>ệ</w:t>
      </w:r>
      <w:r>
        <w:rPr>
          <w:rFonts w:ascii="Times New Roman" w:hAnsi="Times New Roman" w:cs="Times New Roman"/>
          <w:b/>
          <w:color w:val="000000" w:themeColor="text1"/>
          <w:sz w:val="28"/>
          <w:szCs w:val="28"/>
        </w:rPr>
        <w:t>c bãi b</w:t>
      </w:r>
      <w:r>
        <w:rPr>
          <w:rFonts w:ascii="Times New Roman" w:hAnsi="Times New Roman" w:cs="Times New Roman"/>
          <w:b/>
          <w:color w:val="000000" w:themeColor="text1"/>
          <w:sz w:val="28"/>
          <w:szCs w:val="28"/>
        </w:rPr>
        <w:t>ỏ</w:t>
      </w:r>
      <w:r>
        <w:rPr>
          <w:rFonts w:ascii="Times New Roman" w:hAnsi="Times New Roman" w:cs="Times New Roman"/>
          <w:b/>
          <w:color w:val="000000" w:themeColor="text1"/>
          <w:sz w:val="28"/>
          <w:szCs w:val="28"/>
        </w:rPr>
        <w:t xml:space="preserve"> Ngh</w:t>
      </w:r>
      <w:r>
        <w:rPr>
          <w:rFonts w:ascii="Times New Roman" w:hAnsi="Times New Roman" w:cs="Times New Roman"/>
          <w:b/>
          <w:color w:val="000000" w:themeColor="text1"/>
          <w:sz w:val="28"/>
          <w:szCs w:val="28"/>
        </w:rPr>
        <w:t>ị</w:t>
      </w:r>
      <w:r>
        <w:rPr>
          <w:rFonts w:ascii="Times New Roman" w:hAnsi="Times New Roman" w:cs="Times New Roman"/>
          <w:b/>
          <w:color w:val="000000" w:themeColor="text1"/>
          <w:sz w:val="28"/>
          <w:szCs w:val="28"/>
        </w:rPr>
        <w:t xml:space="preserve"> quy</w:t>
      </w:r>
      <w:r>
        <w:rPr>
          <w:rFonts w:ascii="Times New Roman" w:hAnsi="Times New Roman" w:cs="Times New Roman"/>
          <w:b/>
          <w:color w:val="000000" w:themeColor="text1"/>
          <w:sz w:val="28"/>
          <w:szCs w:val="28"/>
        </w:rPr>
        <w:t>ế</w:t>
      </w:r>
      <w:r>
        <w:rPr>
          <w:rFonts w:ascii="Times New Roman" w:hAnsi="Times New Roman" w:cs="Times New Roman"/>
          <w:b/>
          <w:color w:val="000000" w:themeColor="text1"/>
          <w:sz w:val="28"/>
          <w:szCs w:val="28"/>
        </w:rPr>
        <w:t>t s</w:t>
      </w:r>
      <w:r>
        <w:rPr>
          <w:rFonts w:ascii="Times New Roman" w:hAnsi="Times New Roman" w:cs="Times New Roman"/>
          <w:b/>
          <w:color w:val="000000" w:themeColor="text1"/>
          <w:sz w:val="28"/>
          <w:szCs w:val="28"/>
        </w:rPr>
        <w:t>ố</w:t>
      </w:r>
      <w:r>
        <w:rPr>
          <w:rFonts w:ascii="Times New Roman" w:hAnsi="Times New Roman" w:cs="Times New Roman"/>
          <w:b/>
          <w:color w:val="000000" w:themeColor="text1"/>
          <w:sz w:val="28"/>
          <w:szCs w:val="28"/>
        </w:rPr>
        <w:t xml:space="preserve"> 16/2019/NQ-HĐND ngày 06/12/2019 quy đ</w:t>
      </w:r>
      <w:r>
        <w:rPr>
          <w:rFonts w:ascii="Times New Roman" w:hAnsi="Times New Roman" w:cs="Times New Roman"/>
          <w:b/>
          <w:color w:val="000000" w:themeColor="text1"/>
          <w:sz w:val="28"/>
          <w:szCs w:val="28"/>
        </w:rPr>
        <w:t>ị</w:t>
      </w:r>
      <w:r>
        <w:rPr>
          <w:rFonts w:ascii="Times New Roman" w:hAnsi="Times New Roman" w:cs="Times New Roman"/>
          <w:b/>
          <w:color w:val="000000" w:themeColor="text1"/>
          <w:sz w:val="28"/>
          <w:szCs w:val="28"/>
        </w:rPr>
        <w:t>nh v</w:t>
      </w:r>
      <w:r>
        <w:rPr>
          <w:rFonts w:ascii="Times New Roman" w:hAnsi="Times New Roman" w:cs="Times New Roman"/>
          <w:b/>
          <w:color w:val="000000" w:themeColor="text1"/>
          <w:sz w:val="28"/>
          <w:szCs w:val="28"/>
        </w:rPr>
        <w:t>ề</w:t>
      </w:r>
      <w:r>
        <w:rPr>
          <w:rFonts w:ascii="Times New Roman" w:hAnsi="Times New Roman" w:cs="Times New Roman"/>
          <w:b/>
          <w:color w:val="000000" w:themeColor="text1"/>
          <w:sz w:val="28"/>
          <w:szCs w:val="28"/>
        </w:rPr>
        <w:t xml:space="preserve"> đ</w:t>
      </w:r>
      <w:r>
        <w:rPr>
          <w:rFonts w:ascii="Times New Roman" w:hAnsi="Times New Roman" w:cs="Times New Roman"/>
          <w:b/>
          <w:color w:val="000000" w:themeColor="text1"/>
          <w:sz w:val="28"/>
          <w:szCs w:val="28"/>
        </w:rPr>
        <w:t>ố</w:t>
      </w:r>
      <w:r>
        <w:rPr>
          <w:rFonts w:ascii="Times New Roman" w:hAnsi="Times New Roman" w:cs="Times New Roman"/>
          <w:b/>
          <w:color w:val="000000" w:themeColor="text1"/>
          <w:sz w:val="28"/>
          <w:szCs w:val="28"/>
        </w:rPr>
        <w:t>i tư</w:t>
      </w:r>
      <w:r>
        <w:rPr>
          <w:rFonts w:ascii="Times New Roman" w:hAnsi="Times New Roman" w:cs="Times New Roman"/>
          <w:b/>
          <w:color w:val="000000" w:themeColor="text1"/>
          <w:sz w:val="28"/>
          <w:szCs w:val="28"/>
        </w:rPr>
        <w:t>ợ</w:t>
      </w:r>
      <w:r>
        <w:rPr>
          <w:rFonts w:ascii="Times New Roman" w:hAnsi="Times New Roman" w:cs="Times New Roman"/>
          <w:b/>
          <w:color w:val="000000" w:themeColor="text1"/>
          <w:sz w:val="28"/>
          <w:szCs w:val="28"/>
        </w:rPr>
        <w:t>ng cho vay chương trình nư</w:t>
      </w:r>
      <w:r>
        <w:rPr>
          <w:rFonts w:ascii="Times New Roman" w:hAnsi="Times New Roman" w:cs="Times New Roman"/>
          <w:b/>
          <w:color w:val="000000" w:themeColor="text1"/>
          <w:sz w:val="28"/>
          <w:szCs w:val="28"/>
        </w:rPr>
        <w:t>ớ</w:t>
      </w:r>
      <w:r>
        <w:rPr>
          <w:rFonts w:ascii="Times New Roman" w:hAnsi="Times New Roman" w:cs="Times New Roman"/>
          <w:b/>
          <w:color w:val="000000" w:themeColor="text1"/>
          <w:sz w:val="28"/>
          <w:szCs w:val="28"/>
        </w:rPr>
        <w:t>c s</w:t>
      </w:r>
      <w:r>
        <w:rPr>
          <w:rFonts w:ascii="Times New Roman" w:hAnsi="Times New Roman" w:cs="Times New Roman"/>
          <w:b/>
          <w:color w:val="000000" w:themeColor="text1"/>
          <w:sz w:val="28"/>
          <w:szCs w:val="28"/>
        </w:rPr>
        <w:t>ạ</w:t>
      </w:r>
      <w:r>
        <w:rPr>
          <w:rFonts w:ascii="Times New Roman" w:hAnsi="Times New Roman" w:cs="Times New Roman"/>
          <w:b/>
          <w:color w:val="000000" w:themeColor="text1"/>
          <w:sz w:val="28"/>
          <w:szCs w:val="28"/>
        </w:rPr>
        <w:t>ch và v</w:t>
      </w:r>
      <w:r>
        <w:rPr>
          <w:rFonts w:ascii="Times New Roman" w:hAnsi="Times New Roman" w:cs="Times New Roman"/>
          <w:b/>
          <w:color w:val="000000" w:themeColor="text1"/>
          <w:sz w:val="28"/>
          <w:szCs w:val="28"/>
        </w:rPr>
        <w:t>ệ</w:t>
      </w:r>
      <w:r>
        <w:rPr>
          <w:rFonts w:ascii="Times New Roman" w:hAnsi="Times New Roman" w:cs="Times New Roman"/>
          <w:b/>
          <w:color w:val="000000" w:themeColor="text1"/>
          <w:sz w:val="28"/>
          <w:szCs w:val="28"/>
        </w:rPr>
        <w:t xml:space="preserve"> sinh môi trư</w:t>
      </w:r>
      <w:r>
        <w:rPr>
          <w:rFonts w:ascii="Times New Roman" w:hAnsi="Times New Roman" w:cs="Times New Roman"/>
          <w:b/>
          <w:color w:val="000000" w:themeColor="text1"/>
          <w:sz w:val="28"/>
          <w:szCs w:val="28"/>
        </w:rPr>
        <w:t>ờ</w:t>
      </w:r>
      <w:r>
        <w:rPr>
          <w:rFonts w:ascii="Times New Roman" w:hAnsi="Times New Roman" w:cs="Times New Roman"/>
          <w:b/>
          <w:color w:val="000000" w:themeColor="text1"/>
          <w:sz w:val="28"/>
          <w:szCs w:val="28"/>
        </w:rPr>
        <w:t>ng đối v</w:t>
      </w:r>
      <w:r>
        <w:rPr>
          <w:rFonts w:ascii="Times New Roman" w:hAnsi="Times New Roman" w:cs="Times New Roman"/>
          <w:b/>
          <w:color w:val="000000" w:themeColor="text1"/>
          <w:sz w:val="28"/>
          <w:szCs w:val="28"/>
        </w:rPr>
        <w:t>ớ</w:t>
      </w:r>
      <w:r>
        <w:rPr>
          <w:rFonts w:ascii="Times New Roman" w:hAnsi="Times New Roman" w:cs="Times New Roman"/>
          <w:b/>
          <w:color w:val="000000" w:themeColor="text1"/>
          <w:sz w:val="28"/>
          <w:szCs w:val="28"/>
        </w:rPr>
        <w:t>i h</w:t>
      </w:r>
      <w:r>
        <w:rPr>
          <w:rFonts w:ascii="Times New Roman" w:hAnsi="Times New Roman" w:cs="Times New Roman"/>
          <w:b/>
          <w:color w:val="000000" w:themeColor="text1"/>
          <w:sz w:val="28"/>
          <w:szCs w:val="28"/>
        </w:rPr>
        <w:t>ộ</w:t>
      </w:r>
      <w:r>
        <w:rPr>
          <w:rFonts w:ascii="Times New Roman" w:hAnsi="Times New Roman" w:cs="Times New Roman"/>
          <w:b/>
          <w:color w:val="000000" w:themeColor="text1"/>
          <w:sz w:val="28"/>
          <w:szCs w:val="28"/>
        </w:rPr>
        <w:t xml:space="preserve"> gia đình đ</w:t>
      </w:r>
      <w:r>
        <w:rPr>
          <w:rFonts w:ascii="Times New Roman" w:hAnsi="Times New Roman" w:cs="Times New Roman"/>
          <w:b/>
          <w:color w:val="000000" w:themeColor="text1"/>
          <w:sz w:val="28"/>
          <w:szCs w:val="28"/>
        </w:rPr>
        <w:t>ị</w:t>
      </w:r>
      <w:r>
        <w:rPr>
          <w:rFonts w:ascii="Times New Roman" w:hAnsi="Times New Roman" w:cs="Times New Roman"/>
          <w:b/>
          <w:color w:val="000000" w:themeColor="text1"/>
          <w:sz w:val="28"/>
          <w:szCs w:val="28"/>
        </w:rPr>
        <w:t>nh cư h</w:t>
      </w:r>
      <w:r>
        <w:rPr>
          <w:rFonts w:ascii="Times New Roman" w:hAnsi="Times New Roman" w:cs="Times New Roman"/>
          <w:b/>
          <w:color w:val="000000" w:themeColor="text1"/>
          <w:sz w:val="28"/>
          <w:szCs w:val="28"/>
        </w:rPr>
        <w:t>ợ</w:t>
      </w:r>
      <w:r>
        <w:rPr>
          <w:rFonts w:ascii="Times New Roman" w:hAnsi="Times New Roman" w:cs="Times New Roman"/>
          <w:b/>
          <w:color w:val="000000" w:themeColor="text1"/>
          <w:sz w:val="28"/>
          <w:szCs w:val="28"/>
        </w:rPr>
        <w:t>p pháp thu</w:t>
      </w:r>
      <w:r>
        <w:rPr>
          <w:rFonts w:ascii="Times New Roman" w:hAnsi="Times New Roman" w:cs="Times New Roman"/>
          <w:b/>
          <w:color w:val="000000" w:themeColor="text1"/>
          <w:sz w:val="28"/>
          <w:szCs w:val="28"/>
        </w:rPr>
        <w:t>ộ</w:t>
      </w:r>
      <w:r>
        <w:rPr>
          <w:rFonts w:ascii="Times New Roman" w:hAnsi="Times New Roman" w:cs="Times New Roman"/>
          <w:b/>
          <w:color w:val="000000" w:themeColor="text1"/>
          <w:sz w:val="28"/>
          <w:szCs w:val="28"/>
        </w:rPr>
        <w:t>c khu v</w:t>
      </w:r>
      <w:r>
        <w:rPr>
          <w:rFonts w:ascii="Times New Roman" w:hAnsi="Times New Roman" w:cs="Times New Roman"/>
          <w:b/>
          <w:color w:val="000000" w:themeColor="text1"/>
          <w:sz w:val="28"/>
          <w:szCs w:val="28"/>
        </w:rPr>
        <w:t>ự</w:t>
      </w:r>
      <w:r>
        <w:rPr>
          <w:rFonts w:ascii="Times New Roman" w:hAnsi="Times New Roman" w:cs="Times New Roman"/>
          <w:b/>
          <w:color w:val="000000" w:themeColor="text1"/>
          <w:sz w:val="28"/>
          <w:szCs w:val="28"/>
        </w:rPr>
        <w:t>c đô th</w:t>
      </w:r>
      <w:r>
        <w:rPr>
          <w:rFonts w:ascii="Times New Roman" w:hAnsi="Times New Roman" w:cs="Times New Roman"/>
          <w:b/>
          <w:color w:val="000000" w:themeColor="text1"/>
          <w:sz w:val="28"/>
          <w:szCs w:val="28"/>
        </w:rPr>
        <w:t>ị</w:t>
      </w:r>
      <w:r>
        <w:rPr>
          <w:rFonts w:ascii="Times New Roman" w:hAnsi="Times New Roman" w:cs="Times New Roman"/>
          <w:b/>
          <w:color w:val="000000" w:themeColor="text1"/>
          <w:sz w:val="28"/>
          <w:szCs w:val="28"/>
        </w:rPr>
        <w:t xml:space="preserve"> (phư</w:t>
      </w:r>
      <w:r>
        <w:rPr>
          <w:rFonts w:ascii="Times New Roman" w:hAnsi="Times New Roman" w:cs="Times New Roman"/>
          <w:b/>
          <w:color w:val="000000" w:themeColor="text1"/>
          <w:sz w:val="28"/>
          <w:szCs w:val="28"/>
        </w:rPr>
        <w:t>ờ</w:t>
      </w:r>
      <w:r>
        <w:rPr>
          <w:rFonts w:ascii="Times New Roman" w:hAnsi="Times New Roman" w:cs="Times New Roman"/>
          <w:b/>
          <w:color w:val="000000" w:themeColor="text1"/>
          <w:sz w:val="28"/>
          <w:szCs w:val="28"/>
        </w:rPr>
        <w:t>ng, th</w:t>
      </w:r>
      <w:r>
        <w:rPr>
          <w:rFonts w:ascii="Times New Roman" w:hAnsi="Times New Roman" w:cs="Times New Roman"/>
          <w:b/>
          <w:color w:val="000000" w:themeColor="text1"/>
          <w:sz w:val="28"/>
          <w:szCs w:val="28"/>
        </w:rPr>
        <w:t>ị</w:t>
      </w:r>
      <w:r>
        <w:rPr>
          <w:rFonts w:ascii="Times New Roman" w:hAnsi="Times New Roman" w:cs="Times New Roman"/>
          <w:b/>
          <w:color w:val="000000" w:themeColor="text1"/>
          <w:sz w:val="28"/>
          <w:szCs w:val="28"/>
        </w:rPr>
        <w:t xml:space="preserve"> tr</w:t>
      </w:r>
      <w:r>
        <w:rPr>
          <w:rFonts w:ascii="Times New Roman" w:hAnsi="Times New Roman" w:cs="Times New Roman"/>
          <w:b/>
          <w:color w:val="000000" w:themeColor="text1"/>
          <w:sz w:val="28"/>
          <w:szCs w:val="28"/>
        </w:rPr>
        <w:t>ấ</w:t>
      </w:r>
      <w:r>
        <w:rPr>
          <w:rFonts w:ascii="Times New Roman" w:hAnsi="Times New Roman" w:cs="Times New Roman"/>
          <w:b/>
          <w:color w:val="000000" w:themeColor="text1"/>
          <w:sz w:val="28"/>
          <w:szCs w:val="28"/>
        </w:rPr>
        <w:t>n) trên đ</w:t>
      </w:r>
      <w:r>
        <w:rPr>
          <w:rFonts w:ascii="Times New Roman" w:hAnsi="Times New Roman" w:cs="Times New Roman"/>
          <w:b/>
          <w:color w:val="000000" w:themeColor="text1"/>
          <w:sz w:val="28"/>
          <w:szCs w:val="28"/>
        </w:rPr>
        <w:t>ị</w:t>
      </w:r>
      <w:r>
        <w:rPr>
          <w:rFonts w:ascii="Times New Roman" w:hAnsi="Times New Roman" w:cs="Times New Roman"/>
          <w:b/>
          <w:color w:val="000000" w:themeColor="text1"/>
          <w:sz w:val="28"/>
          <w:szCs w:val="28"/>
        </w:rPr>
        <w:t>a bàn t</w:t>
      </w:r>
      <w:r>
        <w:rPr>
          <w:rFonts w:ascii="Times New Roman" w:hAnsi="Times New Roman" w:cs="Times New Roman"/>
          <w:b/>
          <w:color w:val="000000" w:themeColor="text1"/>
          <w:sz w:val="28"/>
          <w:szCs w:val="28"/>
        </w:rPr>
        <w:t>ỉ</w:t>
      </w:r>
      <w:r>
        <w:rPr>
          <w:rFonts w:ascii="Times New Roman" w:hAnsi="Times New Roman" w:cs="Times New Roman"/>
          <w:b/>
          <w:color w:val="000000" w:themeColor="text1"/>
          <w:sz w:val="28"/>
          <w:szCs w:val="28"/>
        </w:rPr>
        <w:t>nh Long An (trư</w:t>
      </w:r>
      <w:r>
        <w:rPr>
          <w:rFonts w:ascii="Times New Roman" w:hAnsi="Times New Roman" w:cs="Times New Roman"/>
          <w:b/>
          <w:color w:val="000000" w:themeColor="text1"/>
          <w:sz w:val="28"/>
          <w:szCs w:val="28"/>
        </w:rPr>
        <w:t>ớ</w:t>
      </w:r>
      <w:r>
        <w:rPr>
          <w:rFonts w:ascii="Times New Roman" w:hAnsi="Times New Roman" w:cs="Times New Roman"/>
          <w:b/>
          <w:color w:val="000000" w:themeColor="text1"/>
          <w:sz w:val="28"/>
          <w:szCs w:val="28"/>
        </w:rPr>
        <w:t>c đây)</w:t>
      </w:r>
    </w:p>
    <w:p w:rsidR="007E15DC" w:rsidRDefault="007E15DC">
      <w:pPr>
        <w:spacing w:line="264" w:lineRule="auto"/>
        <w:jc w:val="center"/>
        <w:rPr>
          <w:rFonts w:ascii="Times New Roman" w:hAnsi="Times New Roman" w:cs="Times New Roman"/>
          <w:b/>
          <w:sz w:val="28"/>
          <w:szCs w:val="28"/>
        </w:rPr>
      </w:pPr>
    </w:p>
    <w:p w:rsidR="007E15DC" w:rsidRDefault="00F079C8">
      <w:pPr>
        <w:spacing w:line="264" w:lineRule="auto"/>
        <w:jc w:val="center"/>
        <w:rPr>
          <w:rFonts w:ascii="Times New Roman" w:hAnsi="Times New Roman" w:cs="Times New Roman"/>
          <w:b/>
          <w:sz w:val="28"/>
          <w:szCs w:val="28"/>
          <w:vertAlign w:val="superscript"/>
        </w:rPr>
      </w:pPr>
      <w:r>
        <w:rPr>
          <w:rFonts w:ascii="Times New Roman" w:eastAsia="Times New Roman" w:hAnsi="Times New Roman" w:cs="Times New Roman"/>
          <w:b/>
          <w:sz w:val="28"/>
          <w:szCs w:val="28"/>
          <w:vertAlign w:val="superscript"/>
        </w:rPr>
        <w:t>___</w:t>
      </w:r>
      <w:r>
        <w:rPr>
          <w:rFonts w:ascii="Times New Roman" w:eastAsia="Times New Roman" w:hAnsi="Times New Roman" w:cs="Times New Roman"/>
          <w:b/>
          <w:sz w:val="28"/>
          <w:szCs w:val="28"/>
          <w:vertAlign w:val="superscript"/>
        </w:rPr>
        <w:t>____________________</w:t>
      </w:r>
    </w:p>
    <w:p w:rsidR="007E15DC" w:rsidRDefault="007E15DC">
      <w:pPr>
        <w:spacing w:line="264" w:lineRule="auto"/>
        <w:jc w:val="center"/>
        <w:rPr>
          <w:rFonts w:ascii="Times New Roman" w:hAnsi="Times New Roman" w:cs="Times New Roman"/>
          <w:b/>
          <w:sz w:val="28"/>
          <w:szCs w:val="28"/>
        </w:rPr>
      </w:pPr>
    </w:p>
    <w:p w:rsidR="007E15DC" w:rsidRDefault="00F079C8">
      <w:pPr>
        <w:spacing w:line="264" w:lineRule="auto"/>
        <w:jc w:val="center"/>
        <w:rPr>
          <w:rFonts w:ascii="Times New Roman" w:hAnsi="Times New Roman" w:cs="Times New Roman"/>
          <w:b/>
          <w:sz w:val="28"/>
          <w:szCs w:val="28"/>
        </w:rPr>
      </w:pPr>
      <w:r>
        <w:rPr>
          <w:rFonts w:ascii="Times New Roman" w:eastAsia="Times New Roman" w:hAnsi="Times New Roman" w:cs="Times New Roman"/>
          <w:b/>
          <w:sz w:val="28"/>
          <w:szCs w:val="28"/>
        </w:rPr>
        <w:t>HỘI ĐỒNG NHÂN DÂN TỈNH TÂY NINH</w:t>
      </w:r>
    </w:p>
    <w:p w:rsidR="007E15DC" w:rsidRDefault="00F079C8">
      <w:pPr>
        <w:spacing w:line="264" w:lineRule="auto"/>
        <w:jc w:val="center"/>
        <w:rPr>
          <w:rFonts w:ascii="Times New Roman" w:hAnsi="Times New Roman" w:cs="Times New Roman"/>
          <w:b/>
          <w:sz w:val="28"/>
          <w:szCs w:val="28"/>
        </w:rPr>
      </w:pPr>
      <w:r>
        <w:rPr>
          <w:rFonts w:ascii="Times New Roman" w:eastAsia="Times New Roman" w:hAnsi="Times New Roman" w:cs="Times New Roman"/>
          <w:b/>
          <w:sz w:val="28"/>
          <w:szCs w:val="28"/>
        </w:rPr>
        <w:t>KHÓA X KỲ HỌP THỨ …..</w:t>
      </w:r>
    </w:p>
    <w:p w:rsidR="007E15DC" w:rsidRDefault="007E15DC">
      <w:pPr>
        <w:spacing w:before="60" w:after="60" w:line="312" w:lineRule="auto"/>
        <w:ind w:firstLine="709"/>
        <w:jc w:val="both"/>
        <w:rPr>
          <w:rFonts w:ascii="Times New Roman" w:hAnsi="Times New Roman" w:cs="Times New Roman"/>
          <w:i/>
          <w:color w:val="000000" w:themeColor="text1"/>
          <w:sz w:val="28"/>
          <w:szCs w:val="28"/>
        </w:rPr>
      </w:pPr>
    </w:p>
    <w:p w:rsidR="007E15DC" w:rsidRDefault="00F079C8">
      <w:pPr>
        <w:spacing w:before="120" w:after="120" w:line="288"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Căn cứ Luật Tổ chức chính quyền địa phương số 72/2025/QH15;</w:t>
      </w:r>
    </w:p>
    <w:p w:rsidR="007E15DC" w:rsidRDefault="00F079C8">
      <w:pPr>
        <w:spacing w:before="120" w:after="120" w:line="288" w:lineRule="auto"/>
        <w:ind w:firstLine="709"/>
        <w:jc w:val="both"/>
        <w:rPr>
          <w:rFonts w:ascii="Times New Roman" w:hAnsi="Times New Roman" w:cs="Times New Roman"/>
          <w:i/>
          <w:sz w:val="28"/>
          <w:szCs w:val="28"/>
        </w:rPr>
      </w:pPr>
      <w:r>
        <w:rPr>
          <w:rFonts w:ascii="Times New Roman" w:eastAsia="Times New Roman" w:hAnsi="Times New Roman" w:cs="Times New Roman"/>
          <w:i/>
          <w:sz w:val="28"/>
          <w:szCs w:val="28"/>
        </w:rPr>
        <w:t>Căn cứ Luật ban hành văn bản quy phạm pháp luật ngày 19 tháng 02 năm 2025; Luật sửa đổi, bổ sung một số điều của Luật ban hành văn bản quy phạm pháp luật ngày 25 tháng 6 năm 2025;</w:t>
      </w:r>
    </w:p>
    <w:p w:rsidR="007E15DC" w:rsidRDefault="00F079C8">
      <w:pPr>
        <w:spacing w:before="120" w:after="120" w:line="288" w:lineRule="auto"/>
        <w:ind w:firstLine="709"/>
        <w:jc w:val="both"/>
        <w:rPr>
          <w:rFonts w:ascii="Times New Roman" w:hAnsi="Times New Roman" w:cs="Times New Roman"/>
          <w:i/>
          <w:sz w:val="28"/>
          <w:szCs w:val="28"/>
        </w:rPr>
      </w:pPr>
      <w:r>
        <w:rPr>
          <w:rFonts w:ascii="Times New Roman" w:eastAsia="Times New Roman" w:hAnsi="Times New Roman" w:cs="Times New Roman"/>
          <w:i/>
          <w:sz w:val="28"/>
          <w:szCs w:val="28"/>
        </w:rPr>
        <w:t xml:space="preserve">Căn cứ Nghị quyết số 202/2025/QH15 ngày 12 tháng 6 năm 2025 của Quốc hội về </w:t>
      </w:r>
      <w:r>
        <w:rPr>
          <w:rFonts w:ascii="Times New Roman" w:eastAsia="Times New Roman" w:hAnsi="Times New Roman" w:cs="Times New Roman"/>
          <w:i/>
          <w:sz w:val="28"/>
          <w:szCs w:val="28"/>
        </w:rPr>
        <w:t>việc sắp xếp đơn vị hành chính cấp tỉnh;</w:t>
      </w:r>
    </w:p>
    <w:p w:rsidR="007E15DC" w:rsidRDefault="00F079C8">
      <w:pPr>
        <w:spacing w:before="120" w:after="120" w:line="288"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Căn cứ Nghị định số 78/2025/NĐ-CP ngày 01/4/2025 của Chính phủ quy định chi tiết một số điều và biện pháp tổ chức, hướng dẫn thi hành Luật Ban hành văn bản quy phạm pháp luật; </w:t>
      </w:r>
    </w:p>
    <w:p w:rsidR="007E15DC" w:rsidRDefault="00F079C8">
      <w:pPr>
        <w:spacing w:before="120" w:after="120" w:line="288" w:lineRule="auto"/>
        <w:ind w:firstLine="709"/>
        <w:jc w:val="both"/>
        <w:rPr>
          <w:rFonts w:ascii="Times New Roman" w:hAnsi="Times New Roman" w:cs="Times New Roman"/>
          <w:i/>
          <w:sz w:val="28"/>
          <w:szCs w:val="28"/>
        </w:rPr>
      </w:pPr>
      <w:r>
        <w:rPr>
          <w:rFonts w:ascii="Times New Roman" w:eastAsia="Times New Roman" w:hAnsi="Times New Roman" w:cs="Times New Roman"/>
          <w:i/>
          <w:sz w:val="28"/>
          <w:szCs w:val="28"/>
        </w:rPr>
        <w:t>Căn cứ Nghị định số 187/2025/NĐ-CP ngà</w:t>
      </w:r>
      <w:r>
        <w:rPr>
          <w:rFonts w:ascii="Times New Roman" w:eastAsia="Times New Roman" w:hAnsi="Times New Roman" w:cs="Times New Roman"/>
          <w:i/>
          <w:sz w:val="28"/>
          <w:szCs w:val="28"/>
        </w:rPr>
        <w:t>y 01/7/2025 của Chúng phủ về sửa đổi, bổ sung một số điều của Nghị định số 78/2025/NĐ-CP ngày 01/4/2025 của Chính phủ quy định chi tiết một số điều và biện pháp tổ chức, hướng dẫn thi hành Luật Ban hành văn bản quy phạm pháp luật và Nghị định số 79/2025/NĐ</w:t>
      </w:r>
      <w:r>
        <w:rPr>
          <w:rFonts w:ascii="Times New Roman" w:eastAsia="Times New Roman" w:hAnsi="Times New Roman" w:cs="Times New Roman"/>
          <w:i/>
          <w:sz w:val="28"/>
          <w:szCs w:val="28"/>
        </w:rPr>
        <w:t>-CP ngày 01/4/2025 của Chính phủ về kiểm tra, rà soát, hệ thống hóa và xử lý văn bản quy phạm pháp luật</w:t>
      </w:r>
      <w:r>
        <w:rPr>
          <w:iCs/>
          <w:color w:val="000000" w:themeColor="text1"/>
          <w:sz w:val="28"/>
          <w:szCs w:val="28"/>
        </w:rPr>
        <w:t>.</w:t>
      </w:r>
    </w:p>
    <w:p w:rsidR="007E15DC" w:rsidRDefault="00F079C8">
      <w:pPr>
        <w:spacing w:before="120" w:after="120" w:line="288" w:lineRule="auto"/>
        <w:ind w:firstLine="709"/>
        <w:jc w:val="both"/>
        <w:rPr>
          <w:rFonts w:ascii="Times New Roman" w:hAnsi="Times New Roman" w:cs="Times New Roman"/>
          <w:i/>
          <w:color w:val="000000" w:themeColor="text1"/>
          <w:sz w:val="28"/>
          <w:szCs w:val="28"/>
        </w:rPr>
      </w:pPr>
      <w:r>
        <w:rPr>
          <w:rFonts w:ascii="Times New Roman" w:eastAsia="Times New Roman" w:hAnsi="Times New Roman" w:cs="Times New Roman"/>
          <w:i/>
          <w:sz w:val="28"/>
          <w:szCs w:val="28"/>
        </w:rPr>
        <w:tab/>
        <w:t>Xét Tờ trình số          /TTr-UBND ngày    tháng    năm 2026 của Ủy ban nhân dân tỉnh Tây Ninh về việc bãi bỏ về việc bãi bỏ Nghị quyết số 16/2019/NQ-</w:t>
      </w:r>
      <w:r>
        <w:rPr>
          <w:rFonts w:ascii="Times New Roman" w:eastAsia="Times New Roman" w:hAnsi="Times New Roman" w:cs="Times New Roman"/>
          <w:i/>
          <w:sz w:val="28"/>
          <w:szCs w:val="28"/>
        </w:rPr>
        <w:t xml:space="preserve">HĐND ngày 06/12/2019 quy định về đối tượng cho vay chương trình nước sạch và vệ sinh môi trường đối với hộ gia đình định cư hợp pháp thuộc khu vực đô thị (phường, thị trấn) trên địa bàn tỉnh Long An (trước đây); Báo cáo thẩm tra của </w:t>
      </w:r>
      <w:r>
        <w:rPr>
          <w:rFonts w:ascii="Times New Roman" w:eastAsia="Times New Roman" w:hAnsi="Times New Roman" w:cs="Times New Roman"/>
          <w:i/>
          <w:sz w:val="28"/>
          <w:szCs w:val="28"/>
        </w:rPr>
        <w:lastRenderedPageBreak/>
        <w:t xml:space="preserve">Ban Kinh tế-Ngân sách </w:t>
      </w:r>
      <w:r>
        <w:rPr>
          <w:rFonts w:ascii="Times New Roman" w:eastAsia="Times New Roman" w:hAnsi="Times New Roman" w:cs="Times New Roman"/>
          <w:i/>
          <w:sz w:val="28"/>
          <w:szCs w:val="28"/>
        </w:rPr>
        <w:t>Hội đồng nhân dân tỉnh; ý kiến thảo luận của đại biểu Hội đồng nhân dân tại kỳ họp.</w:t>
      </w:r>
    </w:p>
    <w:p w:rsidR="007E15DC" w:rsidRDefault="00F079C8">
      <w:pPr>
        <w:spacing w:before="120" w:after="120" w:line="288" w:lineRule="auto"/>
        <w:ind w:firstLine="709"/>
        <w:jc w:val="both"/>
        <w:rPr>
          <w:rFonts w:ascii="Times New Roman" w:hAnsi="Times New Roman" w:cs="Times New Roman"/>
          <w:i/>
          <w:sz w:val="28"/>
          <w:szCs w:val="28"/>
        </w:rPr>
      </w:pPr>
      <w:r>
        <w:rPr>
          <w:rFonts w:ascii="Times New Roman" w:eastAsia="Times New Roman" w:hAnsi="Times New Roman" w:cs="Times New Roman"/>
          <w:i/>
          <w:sz w:val="28"/>
          <w:szCs w:val="28"/>
        </w:rPr>
        <w:t xml:space="preserve">                                           </w:t>
      </w:r>
      <w:r>
        <w:rPr>
          <w:rFonts w:ascii="Times New Roman" w:eastAsia="Times New Roman" w:hAnsi="Times New Roman" w:cs="Times New Roman"/>
          <w:b/>
          <w:sz w:val="28"/>
          <w:szCs w:val="28"/>
        </w:rPr>
        <w:t>QUYẾT NGHỊ:</w:t>
      </w:r>
    </w:p>
    <w:p w:rsidR="007E15DC" w:rsidRDefault="00F079C8">
      <w:pPr>
        <w:spacing w:after="120" w:line="340" w:lineRule="exact"/>
        <w:ind w:firstLine="720"/>
        <w:jc w:val="both"/>
        <w:rPr>
          <w:rFonts w:ascii="Times New Roman" w:eastAsia="Times New Roman" w:hAnsi="Times New Roman" w:cs="Times New Roman"/>
          <w:sz w:val="28"/>
          <w:szCs w:val="28"/>
        </w:rPr>
      </w:pPr>
      <w:bookmarkStart w:id="1" w:name="_Hlk146614078"/>
      <w:r>
        <w:rPr>
          <w:rFonts w:ascii="Times New Roman" w:eastAsia="Times New Roman" w:hAnsi="Times New Roman" w:cs="Times New Roman"/>
          <w:b/>
          <w:sz w:val="28"/>
          <w:szCs w:val="28"/>
        </w:rPr>
        <w:t>Điều 1.</w:t>
      </w:r>
      <w:r>
        <w:rPr>
          <w:rFonts w:ascii="Times New Roman" w:eastAsia="Times New Roman" w:hAnsi="Times New Roman" w:cs="Times New Roman"/>
          <w:sz w:val="28"/>
          <w:szCs w:val="28"/>
        </w:rPr>
        <w:t xml:space="preserve"> Bãi bỏ toàn bộ </w:t>
      </w:r>
      <w:r>
        <w:rPr>
          <w:rFonts w:ascii="Times New Roman" w:eastAsia="Times New Roman" w:hAnsi="Times New Roman" w:cs="Times New Roman"/>
          <w:sz w:val="28"/>
          <w:szCs w:val="28"/>
        </w:rPr>
        <w:t>Nghị quyết số 16/2019/NQ-HĐND ngày 06/12/2019 quy định về đối tượng cho vay chương trình nước sạch và vệ sinh môi trường đối với hộ gia đình định cư hợp pháp thuộc khu vực đô thị (phường, thị trấn) trên địa bàn tỉnh Long An (trước đây).</w:t>
      </w:r>
    </w:p>
    <w:p w:rsidR="007E15DC" w:rsidRDefault="00F079C8">
      <w:pPr>
        <w:spacing w:after="120" w:line="34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Điều 2.</w:t>
      </w:r>
      <w:r>
        <w:rPr>
          <w:rFonts w:ascii="Times New Roman" w:eastAsia="Times New Roman" w:hAnsi="Times New Roman" w:cs="Times New Roman"/>
          <w:sz w:val="28"/>
          <w:szCs w:val="28"/>
        </w:rPr>
        <w:t xml:space="preserve"> Tổ chức th</w:t>
      </w:r>
      <w:r>
        <w:rPr>
          <w:rFonts w:ascii="Times New Roman" w:eastAsia="Times New Roman" w:hAnsi="Times New Roman" w:cs="Times New Roman"/>
          <w:sz w:val="28"/>
          <w:szCs w:val="28"/>
        </w:rPr>
        <w:t>ực hiện</w:t>
      </w:r>
      <w:bookmarkEnd w:id="1"/>
    </w:p>
    <w:p w:rsidR="007E15DC" w:rsidRDefault="00F079C8">
      <w:pPr>
        <w:pStyle w:val="NormalWeb"/>
        <w:widowControl w:val="0"/>
        <w:numPr>
          <w:ilvl w:val="0"/>
          <w:numId w:val="6"/>
        </w:numPr>
        <w:spacing w:before="120" w:beforeAutospacing="0" w:after="120" w:afterAutospacing="0"/>
        <w:jc w:val="both"/>
      </w:pPr>
      <w:r>
        <w:rPr>
          <w:color w:val="000000"/>
          <w:sz w:val="28"/>
          <w:szCs w:val="28"/>
        </w:rPr>
        <w:t>Giao Ủy ban nhân dân tỉnh tổ chức triển khai thực hiện Nghị quyết.</w:t>
      </w:r>
    </w:p>
    <w:p w:rsidR="007E15DC" w:rsidRDefault="00F079C8">
      <w:pPr>
        <w:pStyle w:val="NormalWeb"/>
        <w:widowControl w:val="0"/>
        <w:spacing w:before="120" w:beforeAutospacing="0" w:after="120" w:afterAutospacing="0"/>
        <w:jc w:val="both"/>
      </w:pPr>
      <w:r>
        <w:rPr>
          <w:color w:val="000000"/>
          <w:sz w:val="28"/>
          <w:szCs w:val="28"/>
        </w:rPr>
        <w:tab/>
        <w:t>2. Giao Thường trực Hội đồng nhân dân, các Ban của Hội đồng nhân dân, các Tổ đại biểu và đại biểu Hội đồng nhân dân tỉnh giám sát việc thực hiện Nghị quyết.</w:t>
      </w:r>
    </w:p>
    <w:p w:rsidR="007E15DC" w:rsidRDefault="00F079C8">
      <w:pPr>
        <w:pStyle w:val="NormalWeb"/>
        <w:widowControl w:val="0"/>
        <w:spacing w:before="120" w:beforeAutospacing="0" w:after="120" w:afterAutospacing="0"/>
        <w:jc w:val="both"/>
      </w:pPr>
      <w:r>
        <w:rPr>
          <w:color w:val="000000"/>
          <w:sz w:val="28"/>
          <w:szCs w:val="28"/>
        </w:rPr>
        <w:tab/>
        <w:t xml:space="preserve">3. Đề nghị Ủy ban Mặt </w:t>
      </w:r>
      <w:r>
        <w:rPr>
          <w:color w:val="000000"/>
          <w:sz w:val="28"/>
          <w:szCs w:val="28"/>
        </w:rPr>
        <w:t>trận Tổ quốc Việt Nam tỉnh và các tổ chức chính tri - xã hội tỉnh tham gia tuyên truyền và giám sát việc thực hiện Nghị quyết.</w:t>
      </w:r>
    </w:p>
    <w:p w:rsidR="007E15DC" w:rsidRDefault="00F079C8">
      <w:pPr>
        <w:pStyle w:val="NormalWeb"/>
        <w:widowControl w:val="0"/>
        <w:spacing w:before="120" w:beforeAutospacing="0" w:after="120" w:afterAutospacing="0"/>
        <w:ind w:firstLine="709"/>
        <w:jc w:val="both"/>
        <w:rPr>
          <w:bCs/>
          <w:sz w:val="28"/>
          <w:szCs w:val="28"/>
          <w:lang w:val="vi-VN"/>
        </w:rPr>
      </w:pPr>
      <w:bookmarkStart w:id="2" w:name="_Hlk204879303"/>
      <w:r>
        <w:rPr>
          <w:color w:val="000000"/>
          <w:sz w:val="28"/>
          <w:szCs w:val="28"/>
        </w:rPr>
        <w:t>Nghị quyết này đã được Hội đồng nhân dân tỉnh Tây Ninh khóa …, kỳ họp thứ … (kỳ họp thường lệ cuối năm 2026) thông qua và có hiệu</w:t>
      </w:r>
      <w:r>
        <w:rPr>
          <w:color w:val="000000"/>
          <w:sz w:val="28"/>
          <w:szCs w:val="28"/>
        </w:rPr>
        <w:t xml:space="preserve"> lực thi hành kể từ ngày …. tháng …. năm 2026.</w:t>
      </w:r>
      <w:bookmarkEnd w:id="2"/>
      <w:r>
        <w:rPr>
          <w:color w:val="000000"/>
          <w:sz w:val="28"/>
          <w:szCs w:val="28"/>
        </w:rPr>
        <w:t>/.</w:t>
      </w:r>
    </w:p>
    <w:p w:rsidR="007E15DC" w:rsidRDefault="007E15DC">
      <w:pPr>
        <w:spacing w:after="120" w:line="340" w:lineRule="exact"/>
        <w:ind w:firstLine="720"/>
        <w:jc w:val="both"/>
        <w:rPr>
          <w:rFonts w:ascii="Times New Roman" w:hAnsi="Times New Roman" w:cs="Times New Roman"/>
          <w:bCs/>
          <w:sz w:val="28"/>
          <w:szCs w:val="28"/>
        </w:rPr>
      </w:pPr>
    </w:p>
    <w:tbl>
      <w:tblPr>
        <w:tblStyle w:val="TableGrid"/>
        <w:tblW w:w="95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33"/>
      </w:tblGrid>
      <w:tr w:rsidR="007E15DC">
        <w:tc>
          <w:tcPr>
            <w:tcW w:w="4786" w:type="dxa"/>
          </w:tcPr>
          <w:p w:rsidR="007E15DC" w:rsidRDefault="00F079C8">
            <w:pPr>
              <w:rPr>
                <w:rFonts w:ascii="Times New Roman" w:hAnsi="Times New Roman" w:cs="Times New Roman"/>
                <w:b/>
                <w:i/>
                <w:sz w:val="24"/>
                <w:szCs w:val="24"/>
              </w:rPr>
            </w:pPr>
            <w:r>
              <w:rPr>
                <w:rFonts w:ascii="Times New Roman" w:eastAsia="Times New Roman" w:hAnsi="Times New Roman" w:cs="Times New Roman"/>
                <w:b/>
                <w:i/>
                <w:sz w:val="24"/>
                <w:szCs w:val="24"/>
              </w:rPr>
              <w:t>Nơi nhận:</w:t>
            </w:r>
          </w:p>
          <w:p w:rsidR="007E15DC" w:rsidRDefault="00F079C8">
            <w:pPr>
              <w:rPr>
                <w:rFonts w:ascii="Times New Roman" w:eastAsia="Times New Roman" w:hAnsi="Times New Roman" w:cs="Times New Roman"/>
                <w:color w:val="000000"/>
                <w:shd w:val="clear" w:color="auto" w:fill="FFFFFF"/>
                <w:lang w:eastAsia="en-US"/>
              </w:rPr>
            </w:pPr>
            <w:r>
              <w:rPr>
                <w:rFonts w:ascii="Times New Roman" w:eastAsia="Times New Roman" w:hAnsi="Times New Roman" w:cs="Times New Roman"/>
                <w:color w:val="000000"/>
                <w:shd w:val="clear" w:color="auto" w:fill="FFFFFF"/>
                <w:lang w:eastAsia="en-US"/>
              </w:rPr>
              <w:t>- Ủy ban Thường vụ Quốc hội (b/c);</w:t>
            </w:r>
            <w:r>
              <w:rPr>
                <w:rFonts w:ascii="Times New Roman" w:eastAsia="Times New Roman" w:hAnsi="Times New Roman" w:cs="Times New Roman"/>
                <w:color w:val="000000"/>
                <w:shd w:val="clear" w:color="auto" w:fill="FFFFFF"/>
                <w:lang w:eastAsia="en-US"/>
              </w:rPr>
              <w:br/>
              <w:t>- Chính phủ (b/c);</w:t>
            </w:r>
            <w:r>
              <w:rPr>
                <w:rFonts w:ascii="Times New Roman" w:eastAsia="Times New Roman" w:hAnsi="Times New Roman" w:cs="Times New Roman"/>
                <w:color w:val="000000"/>
                <w:shd w:val="clear" w:color="auto" w:fill="FFFFFF"/>
                <w:lang w:eastAsia="en-US"/>
              </w:rPr>
              <w:br/>
              <w:t>- Ủy ban công tác đại biểu của Quốc hội (b/c);</w:t>
            </w:r>
          </w:p>
          <w:p w:rsidR="007E15DC" w:rsidRDefault="00F079C8">
            <w:pP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hd w:val="clear" w:color="auto" w:fill="FFFFFF"/>
                <w:lang w:eastAsia="en-US"/>
              </w:rPr>
              <w:t xml:space="preserve">- Bộ Nội vụ; </w:t>
            </w:r>
          </w:p>
          <w:p w:rsidR="007E15DC" w:rsidRDefault="00F079C8">
            <w:pP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hd w:val="clear" w:color="auto" w:fill="FFFFFF"/>
                <w:lang w:eastAsia="en-US"/>
              </w:rPr>
              <w:t xml:space="preserve">- Bộ Tài chính; </w:t>
            </w:r>
          </w:p>
          <w:p w:rsidR="007E15DC" w:rsidRDefault="00F079C8">
            <w:pP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hd w:val="clear" w:color="auto" w:fill="FFFFFF"/>
                <w:lang w:eastAsia="en-US"/>
              </w:rPr>
              <w:t xml:space="preserve">- Vụ Pháp chế - Bộ </w:t>
            </w:r>
            <w:r>
              <w:rPr>
                <w:rFonts w:ascii="Times New Roman" w:eastAsia="Times New Roman" w:hAnsi="Times New Roman" w:cs="Times New Roman"/>
                <w:color w:val="000000"/>
                <w:lang w:eastAsia="en-US"/>
              </w:rPr>
              <w:t>Tài chính</w:t>
            </w:r>
            <w:r>
              <w:rPr>
                <w:rFonts w:ascii="Times New Roman" w:eastAsia="Times New Roman" w:hAnsi="Times New Roman" w:cs="Times New Roman"/>
                <w:color w:val="000000"/>
                <w:shd w:val="clear" w:color="auto" w:fill="FFFFFF"/>
                <w:lang w:eastAsia="en-US"/>
              </w:rPr>
              <w:t>;</w:t>
            </w:r>
          </w:p>
          <w:p w:rsidR="007E15DC" w:rsidRDefault="00F079C8">
            <w:pP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hd w:val="clear" w:color="auto" w:fill="FFFFFF"/>
                <w:lang w:eastAsia="en-US"/>
              </w:rPr>
              <w:t>- Thường trực Tỉnh ủy (b/c);</w:t>
            </w:r>
          </w:p>
          <w:p w:rsidR="007E15DC" w:rsidRDefault="00F079C8">
            <w:pP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hd w:val="clear" w:color="auto" w:fill="FFFFFF"/>
                <w:lang w:eastAsia="en-US"/>
              </w:rPr>
              <w:t xml:space="preserve">- Đại biểu QH đơn vị tỉnh Tây Ninh; </w:t>
            </w:r>
          </w:p>
          <w:p w:rsidR="007E15DC" w:rsidRDefault="00F079C8">
            <w:pP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hd w:val="clear" w:color="auto" w:fill="FFFFFF"/>
                <w:lang w:eastAsia="en-US"/>
              </w:rPr>
              <w:t xml:space="preserve">- Đại biểu HĐND tỉnh; </w:t>
            </w:r>
          </w:p>
          <w:p w:rsidR="007E15DC" w:rsidRDefault="00F079C8">
            <w:pP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hd w:val="clear" w:color="auto" w:fill="FFFFFF"/>
                <w:lang w:eastAsia="en-US"/>
              </w:rPr>
              <w:t xml:space="preserve">- UBND tỉnh, UBMTTQVN tỉnh; </w:t>
            </w:r>
          </w:p>
          <w:p w:rsidR="007E15DC" w:rsidRDefault="00F079C8">
            <w:pP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hd w:val="clear" w:color="auto" w:fill="FFFFFF"/>
                <w:lang w:eastAsia="en-US"/>
              </w:rPr>
              <w:t>- Các sở, ban, ngành tỉnh;</w:t>
            </w:r>
          </w:p>
          <w:p w:rsidR="007E15DC" w:rsidRDefault="00F079C8">
            <w:pP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hd w:val="clear" w:color="auto" w:fill="FFFFFF"/>
                <w:lang w:eastAsia="en-US"/>
              </w:rPr>
              <w:t>- VP Đoàn ĐBQH và HĐND tỉnh, VP UBND tỉnh;</w:t>
            </w:r>
          </w:p>
          <w:p w:rsidR="007E15DC" w:rsidRDefault="00F079C8">
            <w:pP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hd w:val="clear" w:color="auto" w:fill="FFFFFF"/>
                <w:lang w:eastAsia="en-US"/>
              </w:rPr>
              <w:t xml:space="preserve">- TT. HĐND, UBND các xã, phường; </w:t>
            </w:r>
          </w:p>
          <w:p w:rsidR="007E15DC" w:rsidRDefault="00F079C8">
            <w:pP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hd w:val="clear" w:color="auto" w:fill="FFFFFF"/>
                <w:lang w:eastAsia="en-US"/>
              </w:rPr>
              <w:t>- Trang Thông tin điện tử HĐND tỉnh;</w:t>
            </w:r>
          </w:p>
          <w:p w:rsidR="007E15DC" w:rsidRDefault="00F079C8">
            <w:pP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hd w:val="clear" w:color="auto" w:fill="FFFFFF"/>
                <w:lang w:eastAsia="en-US"/>
              </w:rPr>
              <w:t>- Trung tâm Công báo - Tin</w:t>
            </w:r>
            <w:r>
              <w:rPr>
                <w:rFonts w:ascii="Times New Roman" w:eastAsia="Times New Roman" w:hAnsi="Times New Roman" w:cs="Times New Roman"/>
                <w:color w:val="000000"/>
                <w:shd w:val="clear" w:color="auto" w:fill="FFFFFF"/>
                <w:lang w:eastAsia="en-US"/>
              </w:rPr>
              <w:t xml:space="preserve"> học tỉnh (Văn phòng UBND tỉnh);</w:t>
            </w:r>
          </w:p>
          <w:p w:rsidR="007E15DC" w:rsidRDefault="00F079C8">
            <w:pP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hd w:val="clear" w:color="auto" w:fill="FFFFFF"/>
                <w:lang w:eastAsia="en-US"/>
              </w:rPr>
              <w:t>- Lưu: VT</w:t>
            </w:r>
            <w:r>
              <w:rPr>
                <w:rFonts w:ascii="Times New Roman" w:eastAsia="Times New Roman" w:hAnsi="Times New Roman" w:cs="Times New Roman"/>
                <w:color w:val="000000"/>
                <w:sz w:val="16"/>
                <w:szCs w:val="16"/>
                <w:shd w:val="clear" w:color="auto" w:fill="FFFFFF"/>
                <w:lang w:eastAsia="en-US"/>
              </w:rPr>
              <w:t>.</w:t>
            </w:r>
          </w:p>
          <w:p w:rsidR="007E15DC" w:rsidRDefault="007E15DC">
            <w:pPr>
              <w:rPr>
                <w:rFonts w:ascii="Times New Roman" w:hAnsi="Times New Roman" w:cs="Times New Roman"/>
              </w:rPr>
            </w:pPr>
          </w:p>
        </w:tc>
        <w:tc>
          <w:tcPr>
            <w:tcW w:w="4733" w:type="dxa"/>
          </w:tcPr>
          <w:p w:rsidR="007E15DC" w:rsidRDefault="00F079C8">
            <w:pPr>
              <w:spacing w:before="120" w:after="120"/>
              <w:jc w:val="center"/>
              <w:rPr>
                <w:rFonts w:ascii="Times New Roman" w:hAnsi="Times New Roman" w:cs="Times New Roman"/>
                <w:b/>
                <w:sz w:val="28"/>
                <w:szCs w:val="28"/>
              </w:rPr>
            </w:pPr>
            <w:r>
              <w:rPr>
                <w:rFonts w:ascii="Times New Roman" w:eastAsia="Times New Roman" w:hAnsi="Times New Roman" w:cs="Times New Roman"/>
                <w:b/>
                <w:sz w:val="28"/>
                <w:szCs w:val="28"/>
              </w:rPr>
              <w:t>CHỦ TỊCH</w:t>
            </w:r>
          </w:p>
          <w:p w:rsidR="007E15DC" w:rsidRDefault="007E15DC">
            <w:pPr>
              <w:rPr>
                <w:rFonts w:ascii="Times New Roman" w:hAnsi="Times New Roman" w:cs="Times New Roman"/>
                <w:sz w:val="28"/>
                <w:szCs w:val="28"/>
              </w:rPr>
            </w:pPr>
          </w:p>
          <w:p w:rsidR="007E15DC" w:rsidRDefault="007E15DC">
            <w:pPr>
              <w:rPr>
                <w:rFonts w:ascii="Times New Roman" w:hAnsi="Times New Roman" w:cs="Times New Roman"/>
                <w:sz w:val="28"/>
                <w:szCs w:val="28"/>
              </w:rPr>
            </w:pPr>
          </w:p>
          <w:p w:rsidR="007E15DC" w:rsidRDefault="007E15DC">
            <w:pPr>
              <w:rPr>
                <w:rFonts w:ascii="Times New Roman" w:hAnsi="Times New Roman" w:cs="Times New Roman"/>
                <w:sz w:val="28"/>
                <w:szCs w:val="28"/>
              </w:rPr>
            </w:pPr>
          </w:p>
          <w:p w:rsidR="007E15DC" w:rsidRDefault="007E15DC">
            <w:pPr>
              <w:rPr>
                <w:rFonts w:ascii="Times New Roman" w:hAnsi="Times New Roman" w:cs="Times New Roman"/>
                <w:sz w:val="28"/>
                <w:szCs w:val="28"/>
              </w:rPr>
            </w:pPr>
          </w:p>
          <w:p w:rsidR="007E15DC" w:rsidRDefault="007E15DC">
            <w:pPr>
              <w:rPr>
                <w:rFonts w:ascii="Times New Roman" w:hAnsi="Times New Roman" w:cs="Times New Roman"/>
                <w:sz w:val="28"/>
                <w:szCs w:val="28"/>
              </w:rPr>
            </w:pPr>
          </w:p>
          <w:p w:rsidR="007E15DC" w:rsidRDefault="007E15DC">
            <w:pPr>
              <w:jc w:val="center"/>
              <w:rPr>
                <w:rFonts w:ascii="Times New Roman" w:hAnsi="Times New Roman" w:cs="Times New Roman"/>
                <w:b/>
                <w:sz w:val="28"/>
                <w:szCs w:val="28"/>
              </w:rPr>
            </w:pPr>
          </w:p>
        </w:tc>
      </w:tr>
    </w:tbl>
    <w:p w:rsidR="007E15DC" w:rsidRDefault="007E15DC">
      <w:pPr>
        <w:rPr>
          <w:rFonts w:ascii="Times New Roman" w:hAnsi="Times New Roman" w:cs="Times New Roman"/>
        </w:rPr>
      </w:pPr>
    </w:p>
    <w:p w:rsidR="007E15DC" w:rsidRDefault="007E15DC">
      <w:pPr>
        <w:rPr>
          <w:rFonts w:ascii="Times New Roman" w:hAnsi="Times New Roman" w:cs="Times New Roman"/>
        </w:rPr>
      </w:pPr>
    </w:p>
    <w:p w:rsidR="007E15DC" w:rsidRDefault="007E15DC">
      <w:pPr>
        <w:spacing w:before="120" w:after="120"/>
        <w:ind w:firstLine="567"/>
        <w:jc w:val="both"/>
        <w:rPr>
          <w:rFonts w:ascii="Times New Roman" w:hAnsi="Times New Roman" w:cs="Times New Roman"/>
          <w:i/>
          <w:sz w:val="28"/>
          <w:szCs w:val="28"/>
        </w:rPr>
      </w:pPr>
    </w:p>
    <w:sectPr w:rsidR="007E15DC">
      <w:headerReference w:type="default" r:id="rId10"/>
      <w:pgSz w:w="11906" w:h="16838"/>
      <w:pgMar w:top="1134" w:right="851" w:bottom="851"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9C8" w:rsidRDefault="00F079C8">
      <w:r>
        <w:separator/>
      </w:r>
    </w:p>
  </w:endnote>
  <w:endnote w:type="continuationSeparator" w:id="0">
    <w:p w:rsidR="00F079C8" w:rsidRDefault="00F07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9C8" w:rsidRDefault="00F079C8">
      <w:r>
        <w:separator/>
      </w:r>
    </w:p>
  </w:footnote>
  <w:footnote w:type="continuationSeparator" w:id="0">
    <w:p w:rsidR="00F079C8" w:rsidRDefault="00F079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17727"/>
    </w:sdtPr>
    <w:sdtEndPr/>
    <w:sdtContent>
      <w:p w:rsidR="007E15DC" w:rsidRDefault="00F079C8">
        <w:pPr>
          <w:pStyle w:val="Header"/>
          <w:jc w:val="center"/>
          <w:rPr>
            <w:rFonts w:asciiTheme="majorHAnsi" w:hAnsiTheme="majorHAnsi" w:cstheme="majorHAnsi"/>
          </w:rPr>
        </w:pPr>
        <w:r>
          <w:rPr>
            <w:rFonts w:asciiTheme="majorHAnsi" w:hAnsiTheme="majorHAnsi" w:cstheme="majorHAnsi"/>
          </w:rPr>
          <w:fldChar w:fldCharType="begin"/>
        </w:r>
        <w:r>
          <w:rPr>
            <w:rFonts w:asciiTheme="majorHAnsi" w:hAnsiTheme="majorHAnsi" w:cstheme="majorHAnsi"/>
          </w:rPr>
          <w:instrText xml:space="preserve"> PAGE   \* MERGEFORMAT </w:instrText>
        </w:r>
        <w:r>
          <w:rPr>
            <w:rFonts w:asciiTheme="majorHAnsi" w:hAnsiTheme="majorHAnsi" w:cstheme="majorHAnsi"/>
          </w:rPr>
          <w:fldChar w:fldCharType="separate"/>
        </w:r>
        <w:r w:rsidR="009031EE">
          <w:rPr>
            <w:rFonts w:asciiTheme="majorHAnsi" w:hAnsiTheme="majorHAnsi" w:cstheme="majorHAnsi"/>
            <w:noProof/>
          </w:rPr>
          <w:t>2</w:t>
        </w:r>
        <w:r>
          <w:rPr>
            <w:rFonts w:asciiTheme="majorHAnsi" w:hAnsiTheme="majorHAnsi" w:cstheme="majorHAnsi"/>
          </w:rPr>
          <w:fldChar w:fldCharType="end"/>
        </w:r>
      </w:p>
    </w:sdtContent>
  </w:sdt>
  <w:p w:rsidR="007E15DC" w:rsidRDefault="007E15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94502"/>
    <w:multiLevelType w:val="multilevel"/>
    <w:tmpl w:val="220A5DE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271577DC"/>
    <w:multiLevelType w:val="multilevel"/>
    <w:tmpl w:val="E626EC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8793F14"/>
    <w:multiLevelType w:val="multilevel"/>
    <w:tmpl w:val="516C0756"/>
    <w:lvl w:ilvl="0">
      <w:start w:val="1"/>
      <w:numFmt w:val="decimal"/>
      <w:lvlText w:val="%1."/>
      <w:lvlJc w:val="left"/>
      <w:pPr>
        <w:ind w:left="1080" w:hanging="360"/>
      </w:pPr>
      <w:rPr>
        <w:rFonts w:hint="default"/>
        <w:color w:val="000000"/>
        <w:sz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5B127875"/>
    <w:multiLevelType w:val="multilevel"/>
    <w:tmpl w:val="D0F26752"/>
    <w:lvl w:ilvl="0">
      <w:start w:val="1"/>
      <w:numFmt w:val="lowerLetter"/>
      <w:lvlText w:val="%1)"/>
      <w:lvlJc w:val="left"/>
      <w:pPr>
        <w:ind w:left="928" w:hanging="360"/>
      </w:pPr>
      <w:rPr>
        <w:rFonts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765E538D"/>
    <w:multiLevelType w:val="multilevel"/>
    <w:tmpl w:val="0D74A1F2"/>
    <w:lvl w:ilvl="0">
      <w:start w:val="1"/>
      <w:numFmt w:val="decimal"/>
      <w:lvlText w:val="%1."/>
      <w:lvlJc w:val="left"/>
      <w:pPr>
        <w:ind w:left="1080" w:hanging="360"/>
      </w:pPr>
      <w:rPr>
        <w:rFonts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77210369"/>
    <w:multiLevelType w:val="multilevel"/>
    <w:tmpl w:val="102CC7E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5DC"/>
    <w:rsid w:val="007E15DC"/>
    <w:rsid w:val="009031EE"/>
    <w:rsid w:val="00F079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ko-KR"/>
    </w:rPr>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2F5496"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
    <w:name w:val="Table Grid Light"/>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Normal"/>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Normal"/>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Normal"/>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Normal"/>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Normal"/>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Normal"/>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Normal"/>
    <w:uiPriority w:val="5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Normal"/>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2">
    <w:name w:val="Grid Table 5 Dark - Accent 2"/>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
    <w:name w:val="Grid Table 5 Dark - Accent 5"/>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Normal"/>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Normal"/>
    <w:uiPriority w:val="99"/>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Normal"/>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Normal"/>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Normal"/>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Normal"/>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Normal"/>
    <w:uiPriority w:val="99"/>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Normal"/>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Normal"/>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Normal"/>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Normal"/>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Normal"/>
    <w:uiPriority w:val="99"/>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Normal"/>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Normal"/>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Normal"/>
    <w:uiPriority w:val="99"/>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Normal"/>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Normal"/>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Normal"/>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Normal"/>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Normal"/>
    <w:uiPriority w:val="9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Normal"/>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Normal"/>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Normal"/>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Normal"/>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Normal"/>
    <w:uiPriority w:val="99"/>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Normal"/>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Normal"/>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Normal"/>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Normal"/>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Normal"/>
    <w:uiPriority w:val="99"/>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Normal"/>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Normal"/>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Normal"/>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Normal"/>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Normal"/>
    <w:uiPriority w:val="99"/>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Normal"/>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leGridLight1">
    <w:name w:val="Table Grid Light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
    <w:name w:val="Plain Table 1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Table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Table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1">
    <w:name w:val="Grid Table 31"/>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Table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Table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1">
    <w:name w:val="Grid Table 41"/>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TableNormal"/>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Normal"/>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Normal"/>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TableNormal"/>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1">
    <w:name w:val="Grid Table 5 Dark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1">
    <w:name w:val="Grid Table 6 Colorful1"/>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1">
    <w:name w:val="Grid Table 7 Colorful1"/>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1">
    <w:name w:val="List Table 1 Light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1">
    <w:name w:val="List Table 21"/>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TableNormal"/>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Normal"/>
    <w:uiPriority w:val="99"/>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TableNormal"/>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1">
    <w:name w:val="List Table 31"/>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TableNormal"/>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TableNormal"/>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1">
    <w:name w:val="List Table 5 Dark1"/>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TableNormal"/>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TableNormal"/>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1">
    <w:name w:val="List Table 6 Colorful1"/>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2F5496"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2F5496"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2F5496"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2F5496" w:themeColor="accent1" w:themeShade="BF"/>
    </w:rPr>
  </w:style>
  <w:style w:type="character" w:customStyle="1" w:styleId="Heading5Char">
    <w:name w:val="Heading 5 Char"/>
    <w:basedOn w:val="DefaultParagraphFont"/>
    <w:link w:val="Heading5"/>
    <w:uiPriority w:val="9"/>
    <w:rPr>
      <w:rFonts w:ascii="Arial" w:eastAsia="Arial" w:hAnsi="Arial" w:cs="Arial"/>
      <w:color w:val="2F5496"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qFormat/>
    <w:pPr>
      <w:spacing w:before="100" w:beforeAutospacing="1" w:after="100" w:afterAutospacing="1"/>
    </w:pPr>
    <w:rPr>
      <w:rFonts w:ascii="Times New Roman" w:eastAsia="Times New Roman" w:hAnsi="Times New Roman" w:cs="Times New Roman"/>
      <w:sz w:val="24"/>
      <w:szCs w:val="24"/>
      <w:lang w:eastAsia="en-US"/>
    </w:rPr>
  </w:style>
  <w:style w:type="table" w:styleId="TableGrid">
    <w:name w:val="Table Grid"/>
    <w:basedOn w:val="TableNormal"/>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ko-KR"/>
    </w:rPr>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2F5496"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
    <w:name w:val="Table Grid Light"/>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Normal"/>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Normal"/>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Normal"/>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Normal"/>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Normal"/>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Normal"/>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Normal"/>
    <w:uiPriority w:val="5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Normal"/>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2">
    <w:name w:val="Grid Table 5 Dark - Accent 2"/>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
    <w:name w:val="Grid Table 5 Dark - Accent 5"/>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Normal"/>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Normal"/>
    <w:uiPriority w:val="99"/>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Normal"/>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Normal"/>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Normal"/>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Normal"/>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Normal"/>
    <w:uiPriority w:val="99"/>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Normal"/>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Normal"/>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Normal"/>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Normal"/>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Normal"/>
    <w:uiPriority w:val="99"/>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Normal"/>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Normal"/>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Normal"/>
    <w:uiPriority w:val="99"/>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Normal"/>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Normal"/>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Normal"/>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Normal"/>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Normal"/>
    <w:uiPriority w:val="9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Normal"/>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Normal"/>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Normal"/>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Normal"/>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Normal"/>
    <w:uiPriority w:val="99"/>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Normal"/>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Normal"/>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Normal"/>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Normal"/>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Normal"/>
    <w:uiPriority w:val="99"/>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Normal"/>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Normal"/>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Normal"/>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Normal"/>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Normal"/>
    <w:uiPriority w:val="99"/>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Normal"/>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leGridLight1">
    <w:name w:val="Table Grid Light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
    <w:name w:val="Plain Table 1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Table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Table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1">
    <w:name w:val="Grid Table 31"/>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Table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Table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1">
    <w:name w:val="Grid Table 41"/>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TableNormal"/>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Normal"/>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Normal"/>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TableNormal"/>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1">
    <w:name w:val="Grid Table 5 Dark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1">
    <w:name w:val="Grid Table 6 Colorful1"/>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1">
    <w:name w:val="Grid Table 7 Colorful1"/>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1">
    <w:name w:val="List Table 1 Light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1">
    <w:name w:val="List Table 21"/>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TableNormal"/>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Normal"/>
    <w:uiPriority w:val="99"/>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TableNormal"/>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1">
    <w:name w:val="List Table 31"/>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TableNormal"/>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TableNormal"/>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1">
    <w:name w:val="List Table 5 Dark1"/>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TableNormal"/>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TableNormal"/>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1">
    <w:name w:val="List Table 6 Colorful1"/>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2F5496"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2F5496"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2F5496"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2F5496" w:themeColor="accent1" w:themeShade="BF"/>
    </w:rPr>
  </w:style>
  <w:style w:type="character" w:customStyle="1" w:styleId="Heading5Char">
    <w:name w:val="Heading 5 Char"/>
    <w:basedOn w:val="DefaultParagraphFont"/>
    <w:link w:val="Heading5"/>
    <w:uiPriority w:val="9"/>
    <w:rPr>
      <w:rFonts w:ascii="Arial" w:eastAsia="Arial" w:hAnsi="Arial" w:cs="Arial"/>
      <w:color w:val="2F5496"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qFormat/>
    <w:pPr>
      <w:spacing w:before="100" w:beforeAutospacing="1" w:after="100" w:afterAutospacing="1"/>
    </w:pPr>
    <w:rPr>
      <w:rFonts w:ascii="Times New Roman" w:eastAsia="Times New Roman" w:hAnsi="Times New Roman" w:cs="Times New Roman"/>
      <w:sz w:val="24"/>
      <w:szCs w:val="24"/>
      <w:lang w:eastAsia="en-US"/>
    </w:rPr>
  </w:style>
  <w:style w:type="table" w:styleId="TableGrid">
    <w:name w:val="Table Grid"/>
    <w:basedOn w:val="TableNormal"/>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39DB34-F8D5-4DB3-BAB0-0A3238CB1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2868</Characters>
  <Application>Microsoft Office Word</Application>
  <DocSecurity>0</DocSecurity>
  <Lines>23</Lines>
  <Paragraphs>6</Paragraphs>
  <ScaleCrop>false</ScaleCrop>
  <Company>Microsoft</Company>
  <LinksUpToDate>false</LinksUpToDate>
  <CharactersWithSpaces>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pham</dc:creator>
  <cp:lastModifiedBy>TTCNTT</cp:lastModifiedBy>
  <cp:revision>2</cp:revision>
  <dcterms:created xsi:type="dcterms:W3CDTF">2026-02-09T04:41:00Z</dcterms:created>
  <dcterms:modified xsi:type="dcterms:W3CDTF">2026-02-09T04:41:00Z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E93FECA5EC8F4997B71E9710410EBE92_13</vt:lpwstr>
  </property>
</Properties>
</file>